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3.wmf" ContentType="image/x-wmf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style23"/>
        <w:rPr>
          <w:rFonts w:cs="Arial"/>
          <w:b/>
          <w:bCs/>
        </w:rPr>
      </w:pPr>
      <w:r>
        <w:rPr>
          <w:rFonts w:cs="Arial"/>
          <w:b/>
          <w:bCs/>
        </w:rPr>
        <w:t>REPÚBLICA DE COLOMBIA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MINISTERIO DE DEFENSA NACIONAL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ARMADA NACIONAL</w:t>
      </w:r>
    </w:p>
    <w:p>
      <w:pPr>
        <w:pStyle w:val="style1"/>
        <w:numPr>
          <w:ilvl w:val="0"/>
          <w:numId w:val="1"/>
        </w:numPr>
        <w:rPr/>
      </w:pPr>
      <w:r>
        <w:rPr/>
        <w:t>DIRECCIÓN GENERAL MARÍTIMA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0"/>
        <w:jc w:val="center"/>
        <w:rPr>
          <w:rFonts w:ascii="Arial" w:cs="Arial" w:hAnsi="Arial"/>
          <w:lang w:eastAsia="es-CO" w:val="es-CO"/>
        </w:rPr>
      </w:pPr>
      <w:r>
        <w:rPr>
          <w:rFonts w:ascii="Arial" w:cs="Arial" w:hAnsi="Arial"/>
          <w:lang w:eastAsia="es-CO" w:val="es-CO"/>
        </w:rPr>
        <w:drawing>
          <wp:inline distB="0" distL="0" distR="0" distT="0">
            <wp:extent cx="544195" cy="755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1"/>
        <w:numPr>
          <w:ilvl w:val="0"/>
          <w:numId w:val="1"/>
        </w:numPr>
        <w:rPr>
          <w:rFonts w:eastAsia="Arial"/>
        </w:rPr>
      </w:pPr>
      <w:r>
        <w:rPr>
          <w:rFonts w:eastAsia="Arial"/>
        </w:rPr>
        <w:t xml:space="preserve"> 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RESOLUCIÓN NÚMERO</w:t>
      </w:r>
      <w:r>
        <w:rPr>
          <w:rFonts w:ascii="Arial" w:cs="Arial" w:hAnsi="Arial"/>
        </w:rPr>
        <w:tab/>
        <w:t>203</w:t>
      </w:r>
    </w:p>
    <w:p>
      <w:pPr>
        <w:pStyle w:val="style0"/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  <w:t>(                             de 2002 )</w:t>
      </w:r>
    </w:p>
    <w:p>
      <w:pPr>
        <w:pStyle w:val="style30"/>
        <w:widowControl/>
        <w:tabs>
          <w:tab w:leader="none" w:pos="5245" w:val="left"/>
        </w:tabs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30"/>
        <w:widowControl/>
        <w:overflowPunct w:val="true"/>
        <w:autoSpaceDE w:val="true"/>
        <w:jc w:val="both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eastAsia="Arial" w:hAnsi="Arial"/>
          <w:szCs w:val="24"/>
          <w:lang w:val="es-ES"/>
        </w:rPr>
        <w:t>“</w:t>
      </w:r>
      <w:r>
        <w:rPr>
          <w:rFonts w:ascii="Arial" w:cs="Arial" w:hAnsi="Arial"/>
          <w:szCs w:val="24"/>
          <w:lang w:val="es-ES"/>
        </w:rPr>
        <w:t>Por la cual se modifica el  formato para el reporte y control de las maniobras de practicaje -PILREP- y el formato para el reporte y control de las maniobras de entrenamiento-REPEN- y el formato de informe mensual de maniobras de pilotos”.</w:t>
      </w:r>
    </w:p>
    <w:p>
      <w:pPr>
        <w:pStyle w:val="style30"/>
        <w:widowControl/>
        <w:overflowPunct w:val="true"/>
        <w:autoSpaceDE w:val="true"/>
        <w:jc w:val="both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0"/>
        <w:tabs>
          <w:tab w:leader="none" w:pos="5245" w:val="left"/>
        </w:tabs>
        <w:jc w:val="center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EL DIRECTOR GENERAL MARÍTIMO</w:t>
      </w:r>
    </w:p>
    <w:p>
      <w:pPr>
        <w:pStyle w:val="style30"/>
        <w:widowControl/>
        <w:overflowPunct w:val="true"/>
        <w:autoSpaceDE w:val="true"/>
        <w:textAlignment w:val="auto"/>
        <w:rPr>
          <w:rFonts w:ascii="Arial" w:cs="Arial" w:hAnsi="Arial"/>
          <w:szCs w:val="24"/>
          <w:lang w:val="es-ES"/>
        </w:rPr>
      </w:pPr>
      <w:r>
        <w:rPr>
          <w:rFonts w:ascii="Arial" w:cs="Arial" w:hAnsi="Arial"/>
          <w:szCs w:val="24"/>
          <w:lang w:val="es-ES"/>
        </w:rPr>
      </w:r>
    </w:p>
    <w:p>
      <w:pPr>
        <w:pStyle w:val="style24"/>
        <w:rPr>
          <w:rFonts w:ascii="Arial" w:cs="Arial" w:hAnsi="Arial"/>
        </w:rPr>
      </w:pPr>
      <w:r>
        <w:rPr>
          <w:rFonts w:ascii="Arial" w:cs="Arial" w:hAnsi="Arial"/>
        </w:rPr>
        <w:t xml:space="preserve">En ejercicio de sus facultades legales otorgadas en el numeral 11 del artículo 5, en el artículo 10, en los numerales 1, 3 y 7 del artículo 11 del decreto ley 2324 de  1984, y 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1"/>
        <w:numPr>
          <w:ilvl w:val="0"/>
          <w:numId w:val="1"/>
        </w:numPr>
        <w:rPr/>
      </w:pPr>
      <w:r>
        <w:rPr/>
        <w:t>CONSIDERANDO</w:t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</w:rPr>
      </w:pPr>
      <w:r>
        <w:rPr>
          <w:rFonts w:ascii="Arial" w:cs="Arial" w:hAnsi="Arial"/>
        </w:rPr>
        <w:t> </w:t>
      </w:r>
    </w:p>
    <w:p>
      <w:pPr>
        <w:pStyle w:val="style0"/>
        <w:spacing w:after="170" w:before="0" w:line="250" w:lineRule="atLeast"/>
        <w:ind w:hanging="0" w:left="0" w:right="6"/>
        <w:contextualSpacing w:val="false"/>
        <w:jc w:val="both"/>
        <w:rPr>
          <w:rFonts w:ascii="Arial" w:cs="Arial" w:hAnsi="Arial"/>
          <w:szCs w:val="22"/>
        </w:rPr>
      </w:pPr>
      <w:r>
        <w:rPr>
          <w:rFonts w:ascii="Arial" w:cs="Arial" w:hAnsi="Arial"/>
          <w:bCs/>
        </w:rPr>
        <w:t>Que el numeral 11</w:t>
      </w:r>
      <w:r>
        <w:rPr>
          <w:rFonts w:ascii="Arial" w:cs="Arial" w:eastAsia="Arial Unicode MS" w:hAnsi="Arial"/>
        </w:rPr>
        <w:t>°</w:t>
      </w:r>
      <w:r>
        <w:rPr>
          <w:rFonts w:ascii="Arial" w:cs="Arial" w:hAnsi="Arial"/>
          <w:bCs/>
        </w:rPr>
        <w:t xml:space="preserve"> del artículo 5</w:t>
      </w:r>
      <w:r>
        <w:rPr>
          <w:rFonts w:ascii="Arial" w:cs="Arial" w:eastAsia="Arial Unicode MS" w:hAnsi="Arial"/>
        </w:rPr>
        <w:t>°</w:t>
      </w:r>
      <w:r>
        <w:rPr>
          <w:rFonts w:ascii="Arial" w:cs="Arial" w:hAnsi="Arial"/>
          <w:bCs/>
        </w:rPr>
        <w:t xml:space="preserve"> del decreto-ley 2324 de 1984 establece como función y atribución de la Dirección General Marítima la de a</w:t>
      </w:r>
      <w:r>
        <w:rPr>
          <w:rFonts w:ascii="Arial" w:cs="Arial" w:hAnsi="Arial"/>
          <w:szCs w:val="22"/>
        </w:rPr>
        <w:t>utorizar, inscribir y controlar el ejercicio profesional de las personas naturales y jurídicas dedicadas a las actividades marítimas en especial las de practicaje”</w:t>
      </w:r>
    </w:p>
    <w:p>
      <w:pPr>
        <w:pStyle w:val="style0"/>
        <w:tabs>
          <w:tab w:leader="none" w:pos="360" w:val="left"/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</w:rPr>
      </w:pPr>
      <w:r>
        <w:rPr>
          <w:rFonts w:ascii="Arial" w:cs="Arial" w:hAnsi="Arial"/>
          <w:bCs/>
        </w:rPr>
        <w:t>Que el artículo 42 de la ley 658 de 2001 consagra que e</w:t>
      </w:r>
      <w:r>
        <w:rPr>
          <w:rFonts w:ascii="Arial" w:cs="Arial" w:hAnsi="Arial"/>
        </w:rPr>
        <w:t>l control de la actividad marítima de practicaje, en el ámbito local, corresponde a la Capitanía de Puerto de la jurisdicción</w:t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</w:rPr>
      </w:pPr>
      <w:r>
        <w:rPr>
          <w:rFonts w:ascii="Arial" w:cs="Arial" w:hAnsi="Arial"/>
          <w:bCs/>
        </w:rPr>
        <w:t>Que el artículo 43 de la referida ley, señala que e</w:t>
      </w:r>
      <w:r>
        <w:rPr>
          <w:rFonts w:ascii="Arial" w:cs="Arial" w:hAnsi="Arial"/>
        </w:rPr>
        <w:t>l control de maniobras de practicaje efectuadas, se hará con base al formato que expide la Autoridad Marítima Nacional.</w:t>
      </w:r>
    </w:p>
    <w:p>
      <w:pPr>
        <w:pStyle w:val="style0"/>
        <w:tabs>
          <w:tab w:leader="none" w:pos="709" w:val="left"/>
          <w:tab w:leader="none" w:pos="1134" w:val="left"/>
          <w:tab w:leader="none" w:pos="1985" w:val="left"/>
          <w:tab w:leader="none" w:pos="7655" w:val="left"/>
          <w:tab w:leader="none" w:pos="7938" w:val="left"/>
        </w:tabs>
        <w:ind w:hanging="0" w:left="0" w:right="51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</w:r>
    </w:p>
    <w:p>
      <w:pPr>
        <w:sectPr>
          <w:headerReference r:id="rId3" w:type="default"/>
          <w:footerReference r:id="rId4" w:type="default"/>
          <w:type w:val="nextPage"/>
          <w:pgSz w:h="15840" w:w="12240"/>
          <w:pgMar w:bottom="1694" w:footer="1418" w:gutter="0" w:header="964" w:left="1701" w:right="1701" w:top="1644"/>
          <w:pgNumType w:fmt="decimal" w:start="1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hAnsi="Arial"/>
          <w:bCs/>
        </w:rPr>
      </w:pPr>
      <w:r>
        <w:rPr>
          <w:rFonts w:ascii="Arial" w:cs="Arial" w:hAnsi="Arial"/>
          <w:bCs/>
        </w:rPr>
        <w:t xml:space="preserve">Que la resolución 147 del 9 de agosto de 2002 estableció los los formatos de </w:t>
      </w:r>
      <w:r>
        <w:rPr>
          <w:rFonts w:ascii="Arial" w:cs="Arial" w:hAnsi="Arial"/>
        </w:rPr>
        <w:t>reporte y control de las maniobras de practicaje -PILREP-, el formato para el reporte y control de las maniobras de entrenamiento –REPEN- y el formato de informe mensual de maniobras de pilotos.</w:t>
      </w:r>
      <w:r>
        <w:rPr>
          <w:rFonts w:ascii="Arial" w:cs="Arial" w:hAnsi="Arial"/>
          <w:bCs/>
        </w:rPr>
        <w:t xml:space="preserve"> </w:t>
      </w:r>
    </w:p>
    <w:p>
      <w:pPr>
        <w:sectPr>
          <w:headerReference r:id="rId5" w:type="default"/>
          <w:footerReference r:id="rId6" w:type="default"/>
          <w:type w:val="nextPage"/>
          <w:pgSz w:h="15840" w:w="12240"/>
          <w:pgMar w:bottom="1418" w:footer="709" w:gutter="0" w:header="964" w:left="1701" w:right="1701" w:top="1644"/>
          <w:pgNumType w:fmt="decimal"/>
          <w:formProt w:val="false"/>
          <w:textDirection w:val="lrTb"/>
          <w:docGrid w:charSpace="0" w:linePitch="360" w:type="default"/>
        </w:sect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eastAsia="Arial Unicode MS" w:hAnsi="Arial"/>
        </w:rPr>
        <w:t xml:space="preserve">Que estos formatos deben ser conocidos y firmados  por los capitanes de los buques donde se efectúan las maniobras, razón por la cual deben ir en inglés y en español, haciéndose necesario modificar los formatos de </w:t>
      </w:r>
      <w:r>
        <w:rPr>
          <w:rFonts w:ascii="Arial" w:cs="Arial" w:hAnsi="Arial"/>
        </w:rPr>
        <w:t>para el reporte y control de las maniobras de practicaje -PILREP- y el formato para el reporte y control de las maniobras de entrenamiento -REPEN-.</w:t>
      </w:r>
    </w:p>
    <w:p>
      <w:pPr>
        <w:pStyle w:val="style0"/>
        <w:jc w:val="both"/>
        <w:rPr>
          <w:rFonts w:ascii="Arial" w:cs="Arial" w:eastAsia="Arial Unicode MS" w:hAnsi="Arial"/>
        </w:rPr>
      </w:pPr>
      <w:r>
        <w:rPr>
          <w:rFonts w:ascii="Arial" w:cs="Arial" w:eastAsia="Arial Unicode MS" w:hAnsi="Arial"/>
        </w:rPr>
      </w:r>
    </w:p>
    <w:p>
      <w:pPr>
        <w:pStyle w:val="style0"/>
        <w:jc w:val="both"/>
        <w:rPr>
          <w:rFonts w:ascii="Arial" w:cs="Arial" w:hAnsi="Arial"/>
        </w:rPr>
      </w:pPr>
      <w:r>
        <w:rPr>
          <w:rFonts w:ascii="Arial" w:cs="Arial" w:hAnsi="Arial"/>
        </w:rPr>
        <w:t>Que en mérito de lo anterior,  el Director General Marítimo,</w:t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1"/>
        <w:numPr>
          <w:ilvl w:val="0"/>
          <w:numId w:val="1"/>
        </w:numPr>
        <w:rPr/>
      </w:pPr>
      <w:r>
        <w:rPr/>
      </w:r>
    </w:p>
    <w:p>
      <w:pPr>
        <w:pStyle w:val="style0"/>
        <w:jc w:val="both"/>
        <w:rPr/>
      </w:pPr>
      <w:r>
        <w:rPr/>
        <w:t>R E S U E L V E</w:t>
      </w:r>
    </w:p>
    <w:p>
      <w:pPr>
        <w:pStyle w:val="style31"/>
        <w:jc w:val="both"/>
        <w:rPr>
          <w:rFonts w:ascii="Arial" w:cs="Arial" w:hAnsi="Arial"/>
        </w:rPr>
      </w:pPr>
      <w:r>
        <w:rPr>
          <w:rFonts w:ascii="Arial" w:cs="Arial" w:hAnsi="Arial"/>
          <w:b/>
        </w:rPr>
        <w:t xml:space="preserve">ARTÍCULO </w:t>
        <w:tab/>
        <w:t>1</w:t>
      </w:r>
      <w:r>
        <w:rPr>
          <w:rFonts w:ascii="Arial" w:cs="Arial" w:hAnsi="Arial"/>
          <w:bCs/>
        </w:rPr>
        <w:t>°.-</w:t>
      </w:r>
      <w:r>
        <w:rPr>
          <w:rFonts w:ascii="Arial" w:cs="Arial" w:hAnsi="Arial"/>
          <w:b/>
          <w:bCs/>
        </w:rPr>
        <w:t xml:space="preserve"> </w:t>
      </w:r>
      <w:r>
        <w:rPr>
          <w:rFonts w:ascii="Arial" w:cs="Arial" w:hAnsi="Arial"/>
        </w:rPr>
        <w:t>Modificar el formato para el reporte y control de las maniobras de practicaje -PILREP-,  (Anexo A) y  el formato para el reporte y control de las maniobras de entrenamiento -REPEN- (Anexo B),  los cuales  forman parte integrante de la presente resolución.</w:t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b/>
        </w:rPr>
        <w:t xml:space="preserve">ARTÍCULO </w:t>
        <w:tab/>
        <w:t>2°.-</w:t>
      </w:r>
      <w:r>
        <w:rPr>
          <w:rFonts w:ascii="Arial" w:cs="Arial" w:hAnsi="Arial"/>
          <w:bCs/>
        </w:rPr>
        <w:t>Confirmar los demás artículos</w:t>
      </w:r>
      <w:r>
        <w:rPr>
          <w:rFonts w:ascii="Arial" w:cs="Arial" w:hAnsi="Arial"/>
          <w:b/>
        </w:rPr>
        <w:t xml:space="preserve"> </w:t>
      </w:r>
      <w:r>
        <w:rPr>
          <w:rFonts w:ascii="Arial" w:cs="Arial" w:hAnsi="Arial"/>
          <w:szCs w:val="20"/>
        </w:rPr>
        <w:t>de la resolución número 147 del 9 de agosto de 2002 .</w:t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</w:r>
    </w:p>
    <w:p>
      <w:pPr>
        <w:pStyle w:val="style0"/>
        <w:jc w:val="both"/>
        <w:rPr>
          <w:rFonts w:ascii="Arial" w:cs="Arial" w:hAnsi="Arial"/>
          <w:bCs/>
        </w:rPr>
      </w:pPr>
      <w:r>
        <w:rPr>
          <w:rFonts w:ascii="Arial" w:cs="Arial" w:hAnsi="Arial"/>
          <w:b/>
        </w:rPr>
        <w:t xml:space="preserve">ARTÍCULO </w:t>
        <w:tab/>
        <w:t xml:space="preserve">3°.- </w:t>
      </w:r>
      <w:r>
        <w:rPr>
          <w:rFonts w:ascii="Arial" w:cs="Arial" w:hAnsi="Arial"/>
          <w:bCs/>
          <w:lang w:val="es-MX"/>
        </w:rPr>
        <w:t>La presente resolución rige a partir de la fecha de su publicación en el Diario Oficial y deroga las disposiciones que le sean contrarias</w:t>
      </w:r>
      <w:r>
        <w:rPr>
          <w:rFonts w:ascii="Arial" w:cs="Arial" w:hAnsi="Arial"/>
          <w:bCs/>
        </w:rPr>
        <w:t>.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szCs w:val="20"/>
        </w:rPr>
      </w:pPr>
      <w:r>
        <w:rPr>
          <w:rFonts w:ascii="Arial" w:cs="Arial" w:hAnsi="Arial"/>
          <w:szCs w:val="20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>Publíquese y cúmplase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  <w:t xml:space="preserve">Dada en Bogotá D.C, a los </w:t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0"/>
        <w:jc w:val="both"/>
        <w:rPr>
          <w:rFonts w:ascii="Arial" w:cs="Arial" w:hAnsi="Arial"/>
          <w:bCs/>
          <w:lang w:val="es-MX"/>
        </w:rPr>
      </w:pPr>
      <w:r>
        <w:rPr>
          <w:rFonts w:ascii="Arial" w:cs="Arial" w:hAnsi="Arial"/>
          <w:bCs/>
          <w:lang w:val="es-MX"/>
        </w:rPr>
      </w:r>
    </w:p>
    <w:p>
      <w:pPr>
        <w:pStyle w:val="style30"/>
        <w:widowControl/>
        <w:overflowPunct w:val="true"/>
        <w:autoSpaceDE w:val="true"/>
        <w:textAlignment w:val="auto"/>
        <w:rPr>
          <w:rFonts w:ascii="Arial" w:cs="Arial" w:hAnsi="Arial"/>
          <w:b/>
          <w:szCs w:val="24"/>
          <w:lang w:val="es-MX"/>
        </w:rPr>
      </w:pPr>
      <w:r>
        <w:rPr>
          <w:rFonts w:ascii="Arial" w:cs="Arial" w:hAnsi="Arial"/>
          <w:bCs/>
          <w:szCs w:val="24"/>
          <w:lang w:val="es-MX"/>
        </w:rPr>
        <w:t xml:space="preserve">Contralmirante </w:t>
      </w:r>
      <w:r>
        <w:rPr>
          <w:rFonts w:ascii="Arial" w:cs="Arial" w:hAnsi="Arial"/>
          <w:b/>
          <w:szCs w:val="24"/>
          <w:lang w:val="es-MX"/>
        </w:rPr>
        <w:t>CARLOS HUMBERTO PINEDA GALLO</w:t>
      </w:r>
    </w:p>
    <w:p>
      <w:pPr>
        <w:pStyle w:val="style0"/>
        <w:jc w:val="center"/>
        <w:rPr>
          <w:rFonts w:ascii="Arial" w:cs="Arial" w:hAnsi="Arial"/>
          <w:b/>
        </w:rPr>
      </w:pPr>
      <w:r>
        <w:rPr/>
        <w:t>DIRECTOR  GENERAL MARÍTIM</w:t>
      </w:r>
      <w:r>
        <w:rPr>
          <w:rFonts w:ascii="Arial" w:cs="Arial" w:hAnsi="Arial"/>
          <w:b/>
        </w:rPr>
        <w:t>A</w:t>
      </w:r>
    </w:p>
    <w:p>
      <w:pPr>
        <w:pStyle w:val="style0"/>
        <w:rPr/>
      </w:pPr>
      <w:r>
        <w:rPr/>
      </w:r>
    </w:p>
    <w:sectPr>
      <w:headerReference r:id="rId7" w:type="default"/>
      <w:footerReference r:id="rId8" w:type="default"/>
      <w:type w:val="nextPage"/>
      <w:pgSz w:h="15840" w:w="12240"/>
      <w:pgMar w:bottom="1418" w:footer="709" w:gutter="0" w:header="964" w:left="1701" w:right="1701" w:top="164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>
        <w:sz w:val="12"/>
      </w:rPr>
    </w:pPr>
    <w:r>
      <w:rPr>
        <w:sz w:val="12"/>
      </w:rPr>
      <w:t xml:space="preserve"> </w:t>
    </w:r>
    <w:r>
      <w:pict>
        <v:rect fillcolor="#FFFFFF" style="position:absolute;width:6.05pt;height:13.8pt;margin-top:0.05pt;margin-left:217.95pt">
          <v:textbox>
            <w:txbxContent>
              <w:p>
                <w:pPr>
                  <w:pStyle w:val="style29"/>
                  <w:rPr>
                    <w:rStyle w:val="style21"/>
                  </w:rPr>
                </w:pPr>
                <w:r>
                  <w:rPr>
                    <w:rStyle w:val="style21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rPr>
        <w:sz w:val="12"/>
      </w:rPr>
    </w:pPr>
    <w:r>
      <w:rPr>
        <w:sz w:val="12"/>
      </w:rPr>
      <w:t xml:space="preserve"> </w:t>
    </w:r>
    <w:r>
      <w:pict>
        <v:rect fillcolor="#FFFFFF" style="position:absolute;width:6.05pt;height:13.8pt;margin-top:0.05pt;margin-left:217.95pt">
          <v:textbox>
            <w:txbxContent>
              <w:p>
                <w:pPr>
                  <w:pStyle w:val="style29"/>
                  <w:rPr>
                    <w:rStyle w:val="style21"/>
                  </w:rPr>
                </w:pPr>
                <w:r>
                  <w:rPr>
                    <w:rStyle w:val="style21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360"/>
      <w:rPr/>
    </w:pPr>
    <w:r>
      <w:rPr/>
    </w:r>
    <w:r>
      <w:pict>
        <v:rect fillcolor="#FFFFFF" style="position:absolute;width:1.15pt;height:13.8pt;margin-top:0.05pt;margin-left:440.75pt">
          <v:textbox>
            <w:txbxContent>
              <w:p>
                <w:pPr>
                  <w:pStyle w:val="style23"/>
                  <w:rPr/>
                </w:pPr>
                <w:r>
                  <w:rPr/>
                </w:r>
              </w:p>
            </w:txbxContent>
          </v:textbox>
        </v:rect>
      </w:pic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Arial" w:cs="Arial" w:hAnsi="Arial"/>
        <w:sz w:val="18"/>
      </w:rPr>
      <w:t xml:space="preserve">CONTINUACIÓN DE LA RESOLUCIÓN POR LA CUAL </w:t>
    </w:r>
    <w:r>
      <w:rPr>
        <w:rFonts w:ascii="Arial" w:cs="Arial" w:hAnsi="Arial"/>
        <w:sz w:val="18"/>
        <w:szCs w:val="24"/>
        <w:lang w:val="es-ES"/>
      </w:rPr>
      <w:t>SE MODIFICA EL  FORMATO PARA EL REPORTE Y CONTROL DE LAS MANIOBRAS DE PRACTICAJE -PILREP- Y EL FORMATO PARA EL REPORTE Y CONTROL DE LAS MANIOBRAS DE ENTRENAMIENTO -REPEN- Y EL FORMATO DE INFORME MENSUAL DE MANIOBRAS DE PILOTOS</w:t>
    </w:r>
    <w:pStyle w:val="style30"/>
    <w:widowControl/>
    <w:overflowPunct w:val="true"/>
    <w:autoSpaceDE w:val="true"/>
    <w:jc w:val="both"/>
    <w:textAlignment w:val="auto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>
        <w:rFonts w:ascii="Arial" w:cs="Arial" w:hAnsi="Arial"/>
        <w:sz w:val="18"/>
        <w:szCs w:val="24"/>
        <w:lang w:val="es-ES"/>
      </w:rPr>
    </w:pPr>
  </w:p>
  <w:p>
    <w:pPr>
      <w:pStyle w:val="style23"/>
      <w:ind w:hanging="0" w:left="0" w:right="36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r>
      <w:rPr>
        <w:rFonts w:ascii="Arial" w:cs="Arial" w:hAnsi="Arial"/>
        <w:sz w:val="18"/>
      </w:rPr>
      <w:t xml:space="preserve">CONTINUACIÓN DE LA RESOLUCIÓN POR LA CUAL </w:t>
    </w:r>
    <w:r>
      <w:rPr>
        <w:rFonts w:ascii="Arial" w:cs="Arial" w:hAnsi="Arial"/>
        <w:sz w:val="18"/>
        <w:szCs w:val="24"/>
        <w:lang w:val="es-ES"/>
      </w:rPr>
      <w:t>SE MODIFICA EL  FORMATO PARA EL REPORTE Y CONTROL DE LAS MANIOBRAS DE PRACTICAJE -PILREP- Y EL FORMATO PARA EL REPORTE Y CONTROL DE LAS MANIOBRAS DE ENTRENAMIENTO -REPEN- Y EL FORMATO DE INFORME MENSUAL DE MANIOBRAS DE PILOTOS</w:t>
    </w:r>
    <w:pStyle w:val="style30"/>
    <w:widowControl/>
    <w:overflowPunct w:val="true"/>
    <w:autoSpaceDE w:val="true"/>
    <w:jc w:val="both"/>
    <w:textAlignment w:val="auto"/>
    <w:top w:color="000000" w:space="0" w:sz="4" w:val="single"/>
    <w:left w:color="000000" w:space="0" w:sz="4" w:val="single"/>
    <w:bottom w:color="000000" w:space="0" w:sz="4" w:val="single"/>
    <w:insideH w:color="000000" w:space="0" w:sz="4" w:val="single"/>
    <w:right w:color="000000" w:space="0" w:sz="4" w:val="single"/>
    <w:insideV w:color="000000" w:space="0" w:sz="4" w:val="single"/>
    <w:pPr>
      <w:rPr>
        <w:rFonts w:ascii="Arial" w:cs="Arial" w:hAnsi="Arial"/>
        <w:sz w:val="18"/>
        <w:szCs w:val="24"/>
        <w:lang w:val="es-ES"/>
      </w:rPr>
    </w:pPr>
  </w:p>
  <w:p>
    <w:pPr>
      <w:pStyle w:val="style23"/>
      <w:ind w:hanging="0" w:left="0" w:right="360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jc w:val="center"/>
      <w:outlineLvl w:val="0"/>
    </w:pPr>
    <w:rPr>
      <w:rFonts w:ascii="Arial" w:cs="Arial" w:hAnsi="Arial"/>
      <w:b/>
      <w:bCs/>
    </w:rPr>
  </w:style>
  <w:style w:styleId="style15" w:type="character">
    <w:name w:val="Fuente de párrafo predeter."/>
    <w:next w:val="style15"/>
    <w:rPr/>
  </w:style>
  <w:style w:styleId="style16" w:type="character">
    <w:name w:val="Título 1 Car"/>
    <w:basedOn w:val="style15"/>
    <w:next w:val="style16"/>
    <w:rPr>
      <w:rFonts w:ascii="Arial" w:cs="Arial" w:eastAsia="Times New Roman" w:hAnsi="Arial"/>
      <w:b/>
      <w:bCs/>
      <w:sz w:val="24"/>
      <w:szCs w:val="24"/>
      <w:lang w:val="es-ES"/>
    </w:rPr>
  </w:style>
  <w:style w:styleId="style17" w:type="character">
    <w:name w:val="Título Car"/>
    <w:basedOn w:val="style15"/>
    <w:next w:val="style17"/>
    <w:rPr>
      <w:rFonts w:ascii="Arial" w:cs="Times New Roman" w:eastAsia="Times New Roman" w:hAnsi="Arial"/>
      <w:sz w:val="24"/>
      <w:szCs w:val="20"/>
      <w:lang w:val="es-ES"/>
    </w:rPr>
  </w:style>
  <w:style w:styleId="style18" w:type="character">
    <w:name w:val="Texto independiente Car"/>
    <w:basedOn w:val="style15"/>
    <w:next w:val="style18"/>
    <w:rPr>
      <w:rFonts w:ascii="Bookman Old Style" w:cs="Times New Roman" w:eastAsia="Times New Roman" w:hAnsi="Bookman Old Style"/>
      <w:sz w:val="24"/>
      <w:szCs w:val="20"/>
      <w:lang w:val="es-ES"/>
    </w:rPr>
  </w:style>
  <w:style w:styleId="style19" w:type="character">
    <w:name w:val="Encabezado Car"/>
    <w:basedOn w:val="style15"/>
    <w:next w:val="style19"/>
    <w:rPr>
      <w:rFonts w:ascii="Times New Roman" w:cs="Times New Roman" w:eastAsia="Times New Roman" w:hAnsi="Times New Roman"/>
      <w:sz w:val="24"/>
      <w:szCs w:val="24"/>
      <w:lang w:val="es-ES"/>
    </w:rPr>
  </w:style>
  <w:style w:styleId="style20" w:type="character">
    <w:name w:val="Pie de página Car"/>
    <w:basedOn w:val="style15"/>
    <w:next w:val="style20"/>
    <w:rPr>
      <w:rFonts w:ascii="Times New Roman" w:cs="Times New Roman" w:eastAsia="Times New Roman" w:hAnsi="Times New Roman"/>
      <w:sz w:val="24"/>
      <w:szCs w:val="24"/>
      <w:lang w:val="es-ES"/>
    </w:rPr>
  </w:style>
  <w:style w:styleId="style21" w:type="character">
    <w:name w:val="Número de página"/>
    <w:basedOn w:val="style15"/>
    <w:next w:val="style21"/>
    <w:rPr/>
  </w:style>
  <w:style w:styleId="style22" w:type="character">
    <w:name w:val="Texto de globo Car"/>
    <w:basedOn w:val="style15"/>
    <w:next w:val="style22"/>
    <w:rPr>
      <w:rFonts w:ascii="Tahoma" w:cs="Tahoma" w:eastAsia="Times New Roman" w:hAnsi="Tahoma"/>
      <w:sz w:val="16"/>
      <w:szCs w:val="16"/>
      <w:lang w:val="es-ES"/>
    </w:rPr>
  </w:style>
  <w:style w:styleId="style23" w:type="paragraph">
    <w:name w:val="Encabezado"/>
    <w:basedOn w:val="style0"/>
    <w:next w:val="style23"/>
    <w:pPr>
      <w:tabs>
        <w:tab w:leader="none" w:pos="4419" w:val="center"/>
        <w:tab w:leader="none" w:pos="8838" w:val="right"/>
      </w:tabs>
    </w:pPr>
    <w:rPr/>
  </w:style>
  <w:style w:styleId="style24" w:type="paragraph">
    <w:name w:val="Cuerpo de texto"/>
    <w:basedOn w:val="style0"/>
    <w:next w:val="style24"/>
    <w:pPr>
      <w:widowControl w:val="false"/>
      <w:overflowPunct w:val="false"/>
      <w:autoSpaceDE w:val="false"/>
      <w:jc w:val="both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25" w:type="paragraph">
    <w:name w:val="Lista"/>
    <w:basedOn w:val="style24"/>
    <w:next w:val="style25"/>
    <w:pPr/>
    <w:rPr>
      <w:rFonts w:cs="Lohit Hindi"/>
    </w:rPr>
  </w:style>
  <w:style w:styleId="style26" w:type="paragraph">
    <w:name w:val="Pie de foto"/>
    <w:basedOn w:val="style0"/>
    <w:next w:val="style26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7" w:type="paragraph">
    <w:name w:val="Índice"/>
    <w:basedOn w:val="style0"/>
    <w:next w:val="style27"/>
    <w:pPr>
      <w:suppressLineNumbers/>
    </w:pPr>
    <w:rPr>
      <w:rFonts w:cs="Lohit Hindi"/>
    </w:rPr>
  </w:style>
  <w:style w:styleId="style28" w:type="paragraph">
    <w:name w:val="Encabezado"/>
    <w:basedOn w:val="style0"/>
    <w:next w:val="style2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9" w:type="paragraph">
    <w:name w:val="Pie de página"/>
    <w:basedOn w:val="style0"/>
    <w:next w:val="style29"/>
    <w:pPr>
      <w:tabs>
        <w:tab w:leader="none" w:pos="4419" w:val="center"/>
        <w:tab w:leader="none" w:pos="8838" w:val="right"/>
      </w:tabs>
    </w:pPr>
    <w:rPr/>
  </w:style>
  <w:style w:styleId="style30" w:type="paragraph">
    <w:name w:val="Body Text 2"/>
    <w:basedOn w:val="style0"/>
    <w:next w:val="style30"/>
    <w:pPr>
      <w:widowControl w:val="false"/>
      <w:overflowPunct w:val="false"/>
      <w:autoSpaceDE w:val="false"/>
      <w:jc w:val="center"/>
      <w:textAlignment w:val="baseline"/>
    </w:pPr>
    <w:rPr>
      <w:rFonts w:ascii="Bookman Old Style" w:cs="Bookman Old Style" w:hAnsi="Bookman Old Style"/>
      <w:szCs w:val="20"/>
      <w:lang w:val="es-ES"/>
    </w:rPr>
  </w:style>
  <w:style w:styleId="style31" w:type="paragraph">
    <w:name w:val="Normal (Web)"/>
    <w:basedOn w:val="style0"/>
    <w:next w:val="style31"/>
    <w:pPr>
      <w:spacing w:after="280" w:before="280"/>
      <w:contextualSpacing w:val="false"/>
    </w:pPr>
    <w:rPr/>
  </w:style>
  <w:style w:styleId="style32" w:type="paragraph">
    <w:name w:val="Texto de globo"/>
    <w:basedOn w:val="style0"/>
    <w:next w:val="style32"/>
    <w:pPr/>
    <w:rPr>
      <w:rFonts w:ascii="Tahoma" w:cs="Tahoma" w:hAnsi="Tahoma"/>
      <w:sz w:val="16"/>
      <w:szCs w:val="16"/>
    </w:rPr>
  </w:style>
  <w:style w:styleId="style33" w:type="paragraph">
    <w:name w:val="Contenido del marco"/>
    <w:basedOn w:val="style24"/>
    <w:next w:val="style3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3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2013-02-10T16:07:00Z</dcterms:created>
  <dc:creator>FFMM</dc:creator>
  <cp:lastModifiedBy>Clarita</cp:lastModifiedBy>
  <dcterms:modified xsi:type="dcterms:W3CDTF">2013-02-10T16:07:00Z</dcterms:modified>
  <cp:revision>2</cp:revision>
</cp:coreProperties>
</file>